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7E39" w14:textId="62031451" w:rsidR="00872E4D" w:rsidRPr="00224285" w:rsidRDefault="00872E4D" w:rsidP="00872E4D">
      <w:pPr>
        <w:rPr>
          <w:rFonts w:ascii="Arial" w:hAnsi="Arial" w:cs="Arial"/>
          <w:color w:val="000000" w:themeColor="text1"/>
        </w:rPr>
      </w:pPr>
    </w:p>
    <w:p w14:paraId="36EF9C9B" w14:textId="77777777" w:rsidR="00F321A1" w:rsidRPr="00224285" w:rsidRDefault="00F321A1">
      <w:pPr>
        <w:rPr>
          <w:rFonts w:ascii="Arial" w:hAnsi="Arial" w:cs="Arial"/>
          <w:lang w:val="es-CO"/>
        </w:rPr>
      </w:pPr>
    </w:p>
    <w:p w14:paraId="786959F8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252D6D0D" w14:textId="77777777" w:rsidR="00872E4D" w:rsidRPr="00224285" w:rsidRDefault="00872E4D" w:rsidP="00A10940">
      <w:pPr>
        <w:jc w:val="center"/>
        <w:rPr>
          <w:rFonts w:ascii="Arial" w:hAnsi="Arial" w:cs="Arial"/>
          <w:lang w:val="es-CO"/>
        </w:rPr>
      </w:pPr>
    </w:p>
    <w:p w14:paraId="79DE5481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center"/>
        <w:rPr>
          <w:rFonts w:ascii="Arial" w:hAnsi="Arial" w:cs="Arial"/>
          <w:lang w:val="es-CO"/>
        </w:rPr>
      </w:pPr>
      <w:r w:rsidRPr="00224285">
        <w:rPr>
          <w:rFonts w:ascii="Arial" w:hAnsi="Arial" w:cs="Arial"/>
          <w:lang w:val="es-CO"/>
        </w:rPr>
        <w:t>ESTRATEGIA DE VINCULACIÓN SOCIAL Y COMERCIAL PARA LA IMPLEMENTACIÓN DE LAS ÁREAS DE REVITALIZACIÓN ECONÓMICA (ARE) EN PEREIRA</w:t>
      </w:r>
    </w:p>
    <w:p w14:paraId="615CD71E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1. Introducción</w:t>
      </w:r>
    </w:p>
    <w:p w14:paraId="41B57649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La presente propuesta define la estrategia de vinculación social y comercial que soporta la implementación de las </w:t>
      </w:r>
      <w:r w:rsidRPr="003A1C8B">
        <w:rPr>
          <w:rFonts w:ascii="Arial" w:hAnsi="Arial" w:cs="Arial"/>
          <w:b/>
          <w:bCs/>
          <w:lang w:val="es-CO"/>
        </w:rPr>
        <w:t>Áreas de Revitalización Económica (ARE)</w:t>
      </w:r>
      <w:r w:rsidRPr="003A1C8B">
        <w:rPr>
          <w:rFonts w:ascii="Arial" w:hAnsi="Arial" w:cs="Arial"/>
          <w:lang w:val="es-CO"/>
        </w:rPr>
        <w:t xml:space="preserve"> como instrumento de gestión del espacio público, desarrollo económico y gobernanza asociativa en el municipio de Pereira.</w:t>
      </w:r>
    </w:p>
    <w:p w14:paraId="6987A6EF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  <w:r w:rsidRPr="00224285">
        <w:rPr>
          <w:rFonts w:ascii="Arial" w:hAnsi="Arial" w:cs="Arial"/>
        </w:rPr>
        <w:t>Dicha estrategia busca:</w:t>
      </w:r>
    </w:p>
    <w:p w14:paraId="141C058E" w14:textId="77777777" w:rsidR="00915789" w:rsidRPr="003A1C8B" w:rsidRDefault="00915789" w:rsidP="00915789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Construir legitimidad social.</w:t>
      </w:r>
    </w:p>
    <w:p w14:paraId="120DCD30" w14:textId="77777777" w:rsidR="00915789" w:rsidRPr="003A1C8B" w:rsidRDefault="00915789" w:rsidP="00915789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Integrar al sector comercial y comunitario al diseño del ARE.</w:t>
      </w:r>
    </w:p>
    <w:p w14:paraId="3685718C" w14:textId="77777777" w:rsidR="00915789" w:rsidRPr="003A1C8B" w:rsidRDefault="00915789" w:rsidP="00915789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Consolidar un esquema de gobernanza que permita la operación de un </w:t>
      </w:r>
      <w:r w:rsidRPr="003A1C8B">
        <w:rPr>
          <w:rFonts w:ascii="Arial" w:hAnsi="Arial" w:cs="Arial"/>
          <w:b/>
          <w:bCs/>
          <w:lang w:val="es-CO"/>
        </w:rPr>
        <w:t>ente administrador</w:t>
      </w:r>
      <w:r w:rsidRPr="003A1C8B">
        <w:rPr>
          <w:rFonts w:ascii="Arial" w:hAnsi="Arial" w:cs="Arial"/>
          <w:lang w:val="es-CO"/>
        </w:rPr>
        <w:t xml:space="preserve"> del área.</w:t>
      </w:r>
    </w:p>
    <w:p w14:paraId="3861C9CC" w14:textId="77777777" w:rsidR="00915789" w:rsidRPr="003A1C8B" w:rsidRDefault="00915789" w:rsidP="00915789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Asegurar participación informada y concertada.</w:t>
      </w:r>
    </w:p>
    <w:p w14:paraId="1A876AF5" w14:textId="729F7DF0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</w:p>
    <w:p w14:paraId="581EF64B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2. Objetivo General</w:t>
      </w:r>
    </w:p>
    <w:p w14:paraId="36DB8B6A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Diseñar e implementar una estrategia integral de vinculación social y comercial que permita concertar, validar y consolidar la implementación de las Áreas de Revitalización Económica en Pereira, garantizando participación efectiva de comerciantes, ciudadanía y actores institucionales.</w:t>
      </w:r>
    </w:p>
    <w:p w14:paraId="1F803821" w14:textId="0333BB2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</w:p>
    <w:p w14:paraId="14F5FC91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</w:rPr>
      </w:pPr>
      <w:r w:rsidRPr="003A1C8B">
        <w:rPr>
          <w:rFonts w:ascii="Arial" w:hAnsi="Arial" w:cs="Arial"/>
          <w:b/>
          <w:bCs/>
        </w:rPr>
        <w:t>3. Objetivos Específicos</w:t>
      </w:r>
    </w:p>
    <w:p w14:paraId="3BE71174" w14:textId="77777777" w:rsidR="00915789" w:rsidRPr="003A1C8B" w:rsidRDefault="00915789" w:rsidP="00915789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Generar procesos de diálogo y construcción conjunta con comerciantes formales y actores económicos del área priorizada.</w:t>
      </w:r>
    </w:p>
    <w:p w14:paraId="2A95739F" w14:textId="77777777" w:rsidR="00915789" w:rsidRPr="003A1C8B" w:rsidRDefault="00915789" w:rsidP="00915789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Involucrar a la ciudadanía residente, </w:t>
      </w:r>
      <w:r w:rsidRPr="00224285">
        <w:rPr>
          <w:rFonts w:ascii="Arial" w:hAnsi="Arial" w:cs="Arial"/>
          <w:lang w:val="es-CO"/>
        </w:rPr>
        <w:t xml:space="preserve">veedurías ciudadanas, </w:t>
      </w:r>
      <w:r w:rsidRPr="003A1C8B">
        <w:rPr>
          <w:rFonts w:ascii="Arial" w:hAnsi="Arial" w:cs="Arial"/>
          <w:lang w:val="es-CO"/>
        </w:rPr>
        <w:t>usuarios y colectivos en la definición del modelo de uso, financiación y gobernanza del espacio público.</w:t>
      </w:r>
    </w:p>
    <w:p w14:paraId="4281647E" w14:textId="77777777" w:rsidR="00915789" w:rsidRPr="003A1C8B" w:rsidRDefault="00915789" w:rsidP="00915789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Desarrollar mesas de participación</w:t>
      </w:r>
      <w:r w:rsidRPr="00224285">
        <w:rPr>
          <w:rFonts w:ascii="Arial" w:hAnsi="Arial" w:cs="Arial"/>
          <w:lang w:val="es-CO"/>
        </w:rPr>
        <w:t xml:space="preserve"> </w:t>
      </w:r>
      <w:r w:rsidRPr="003A1C8B">
        <w:rPr>
          <w:rFonts w:ascii="Arial" w:hAnsi="Arial" w:cs="Arial"/>
          <w:lang w:val="es-CO"/>
        </w:rPr>
        <w:t>para revisión de</w:t>
      </w:r>
      <w:r w:rsidRPr="00224285">
        <w:rPr>
          <w:rFonts w:ascii="Arial" w:hAnsi="Arial" w:cs="Arial"/>
          <w:lang w:val="es-CO"/>
        </w:rPr>
        <w:t xml:space="preserve"> los </w:t>
      </w:r>
      <w:r w:rsidRPr="003A1C8B">
        <w:rPr>
          <w:rFonts w:ascii="Arial" w:hAnsi="Arial" w:cs="Arial"/>
          <w:lang w:val="es-CO"/>
        </w:rPr>
        <w:t>lineamientos de aprovechamiento económico y reglas del uso del espacio.</w:t>
      </w:r>
    </w:p>
    <w:p w14:paraId="78F9056B" w14:textId="77777777" w:rsidR="00915789" w:rsidRPr="003A1C8B" w:rsidRDefault="00915789" w:rsidP="00915789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Conformar un </w:t>
      </w:r>
      <w:r w:rsidRPr="003A1C8B">
        <w:rPr>
          <w:rFonts w:ascii="Arial" w:hAnsi="Arial" w:cs="Arial"/>
          <w:b/>
          <w:bCs/>
          <w:lang w:val="es-CO"/>
        </w:rPr>
        <w:t>ente administrador</w:t>
      </w:r>
      <w:r w:rsidRPr="003A1C8B">
        <w:rPr>
          <w:rFonts w:ascii="Arial" w:hAnsi="Arial" w:cs="Arial"/>
          <w:lang w:val="es-CO"/>
        </w:rPr>
        <w:t xml:space="preserve"> conforme al modelo ARE, que asuma funciones de gestión, mantenimiento, activación cultural y operación del AEEP en campo.</w:t>
      </w:r>
    </w:p>
    <w:p w14:paraId="0451DD4D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4.2. Modelo ARE como instrumento de gestión urbana</w:t>
      </w:r>
    </w:p>
    <w:p w14:paraId="53A3772A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El ARE articula:</w:t>
      </w:r>
    </w:p>
    <w:p w14:paraId="411F55D5" w14:textId="77777777" w:rsidR="00915789" w:rsidRPr="003A1C8B" w:rsidRDefault="00915789" w:rsidP="00915789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Mejoramiento de espacio público</w:t>
      </w:r>
    </w:p>
    <w:p w14:paraId="6A2CA278" w14:textId="77777777" w:rsidR="00915789" w:rsidRPr="003A1C8B" w:rsidRDefault="00915789" w:rsidP="00915789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Fortalecimiento económico</w:t>
      </w:r>
    </w:p>
    <w:p w14:paraId="4D61CA7B" w14:textId="77777777" w:rsidR="00915789" w:rsidRPr="003A1C8B" w:rsidRDefault="00915789" w:rsidP="00915789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lastRenderedPageBreak/>
        <w:t>Gobernanza asociativa</w:t>
      </w:r>
    </w:p>
    <w:p w14:paraId="3BA1B84F" w14:textId="77777777" w:rsidR="00915789" w:rsidRPr="003A1C8B" w:rsidRDefault="00915789" w:rsidP="00915789">
      <w:pPr>
        <w:widowControl w:val="0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Activación cultural y de marca urbana</w:t>
      </w:r>
    </w:p>
    <w:p w14:paraId="4628908E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4.3. Articulación ARE – AEEP</w:t>
      </w:r>
    </w:p>
    <w:p w14:paraId="1D3E79F8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El documento conceptual establece que el ARE debe integrarse a la actualización del Acuerdo 078 de 2008,</w:t>
      </w:r>
      <w:r w:rsidRPr="00224285">
        <w:rPr>
          <w:rFonts w:ascii="Arial" w:hAnsi="Arial" w:cs="Arial"/>
          <w:lang w:val="es-CO"/>
        </w:rPr>
        <w:t xml:space="preserve"> </w:t>
      </w:r>
      <w:r w:rsidRPr="003A1C8B">
        <w:rPr>
          <w:rFonts w:ascii="Arial" w:hAnsi="Arial" w:cs="Arial"/>
          <w:lang w:val="es-CO"/>
        </w:rPr>
        <w:t xml:space="preserve"> permitiendo:</w:t>
      </w:r>
    </w:p>
    <w:p w14:paraId="00D9E588" w14:textId="2AB6D361" w:rsidR="00915789" w:rsidRPr="003A1C8B" w:rsidRDefault="00915789" w:rsidP="0091578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Tarifas diferenciales</w:t>
      </w:r>
      <w:r w:rsidR="00C44850" w:rsidRPr="00224285">
        <w:rPr>
          <w:rFonts w:ascii="Arial" w:hAnsi="Arial" w:cs="Arial"/>
        </w:rPr>
        <w:t xml:space="preserve"> y escalonadas</w:t>
      </w:r>
    </w:p>
    <w:p w14:paraId="42473BFE" w14:textId="77777777" w:rsidR="00915789" w:rsidRPr="003A1C8B" w:rsidRDefault="00915789" w:rsidP="0091578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</w:rPr>
      </w:pPr>
      <w:r w:rsidRPr="003A1C8B">
        <w:rPr>
          <w:rFonts w:ascii="Arial" w:hAnsi="Arial" w:cs="Arial"/>
        </w:rPr>
        <w:t>Ventanilla única</w:t>
      </w:r>
    </w:p>
    <w:p w14:paraId="41D551D9" w14:textId="77777777" w:rsidR="00915789" w:rsidRPr="003A1C8B" w:rsidRDefault="00915789" w:rsidP="0091578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Delegación operativa a entidades sin ánimo de lucro</w:t>
      </w:r>
    </w:p>
    <w:p w14:paraId="2FB1B738" w14:textId="77777777" w:rsidR="00915789" w:rsidRPr="003A1C8B" w:rsidRDefault="00915789" w:rsidP="00915789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Fondos ARE con destinación específica local</w:t>
      </w:r>
    </w:p>
    <w:p w14:paraId="4FCE9A76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Este protocolo será socializado como parte de las mesas técnicas.</w:t>
      </w:r>
    </w:p>
    <w:p w14:paraId="440886C5" w14:textId="6536D26E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</w:p>
    <w:p w14:paraId="16270E9B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5. Estrategia de Vinculación Social y Comercial</w:t>
      </w:r>
    </w:p>
    <w:p w14:paraId="7C6279C7" w14:textId="75C779CC" w:rsidR="00915789" w:rsidRPr="003A1C8B" w:rsidRDefault="00915789" w:rsidP="00C44850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La estrategia se organiza en </w:t>
      </w:r>
      <w:r w:rsidRPr="003A1C8B">
        <w:rPr>
          <w:rFonts w:ascii="Arial" w:hAnsi="Arial" w:cs="Arial"/>
          <w:b/>
          <w:bCs/>
          <w:lang w:val="es-CO"/>
        </w:rPr>
        <w:t>cuatro componentes</w:t>
      </w:r>
      <w:r w:rsidRPr="003A1C8B">
        <w:rPr>
          <w:rFonts w:ascii="Arial" w:hAnsi="Arial" w:cs="Arial"/>
          <w:lang w:val="es-CO"/>
        </w:rPr>
        <w:t xml:space="preserve"> principales:</w:t>
      </w:r>
    </w:p>
    <w:p w14:paraId="68E6C1F3" w14:textId="3FC3563C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5.1. Componente 1: Comerciantes</w:t>
      </w:r>
    </w:p>
    <w:p w14:paraId="77AB6E73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Objetivo</w:t>
      </w:r>
    </w:p>
    <w:p w14:paraId="06B9368E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Vincular al sector comercial en la comprensión, validación y co-diseño del ARE, sus tarifas, beneficios, obligaciones y modelo de operación.</w:t>
      </w:r>
    </w:p>
    <w:p w14:paraId="0A6E93F8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Actividades</w:t>
      </w:r>
    </w:p>
    <w:p w14:paraId="1404E273" w14:textId="0815FC3C" w:rsidR="00C44850" w:rsidRPr="0078176B" w:rsidRDefault="00224285" w:rsidP="00CE2CE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426" w:right="335"/>
        <w:jc w:val="both"/>
        <w:rPr>
          <w:rFonts w:ascii="Arial" w:hAnsi="Arial" w:cs="Arial"/>
          <w:b/>
          <w:bCs/>
          <w:lang w:val="es-CO"/>
        </w:rPr>
      </w:pPr>
      <w:r w:rsidRPr="0078176B">
        <w:rPr>
          <w:rFonts w:ascii="Arial" w:hAnsi="Arial" w:cs="Arial"/>
          <w:b/>
          <w:bCs/>
          <w:lang w:val="es-CO"/>
        </w:rPr>
        <w:t xml:space="preserve">5.1.1 </w:t>
      </w:r>
      <w:r w:rsidR="00C44850" w:rsidRPr="0078176B">
        <w:rPr>
          <w:rFonts w:ascii="Arial" w:hAnsi="Arial" w:cs="Arial"/>
          <w:b/>
          <w:bCs/>
          <w:lang w:val="es-CO"/>
        </w:rPr>
        <w:t>Reuniones con líderes de los comercios en las áreas piloto</w:t>
      </w:r>
    </w:p>
    <w:p w14:paraId="20B75898" w14:textId="77777777" w:rsidR="0078176B" w:rsidRDefault="0078176B" w:rsidP="0078176B">
      <w:pPr>
        <w:widowControl w:val="0"/>
        <w:numPr>
          <w:ilvl w:val="1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1418" w:right="335" w:hanging="284"/>
        <w:jc w:val="both"/>
        <w:rPr>
          <w:rFonts w:ascii="Arial" w:hAnsi="Arial" w:cs="Arial"/>
          <w:lang w:val="es-CO"/>
        </w:rPr>
      </w:pPr>
      <w:r w:rsidRPr="00CE2CED">
        <w:rPr>
          <w:rFonts w:ascii="Arial" w:hAnsi="Arial" w:cs="Arial"/>
          <w:lang w:val="es-CO"/>
        </w:rPr>
        <w:t>Explicar qué es un ARE y cómo la comunidad se vería beneficiada a partir de su conformación.</w:t>
      </w:r>
    </w:p>
    <w:p w14:paraId="7996147A" w14:textId="77777777" w:rsidR="0078176B" w:rsidRDefault="0078176B" w:rsidP="0078176B">
      <w:pPr>
        <w:widowControl w:val="0"/>
        <w:numPr>
          <w:ilvl w:val="1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1418" w:right="335" w:hanging="284"/>
        <w:jc w:val="both"/>
        <w:rPr>
          <w:rFonts w:ascii="Arial" w:hAnsi="Arial" w:cs="Arial"/>
          <w:lang w:val="es-CO"/>
        </w:rPr>
      </w:pPr>
      <w:r w:rsidRPr="0078176B">
        <w:rPr>
          <w:rFonts w:ascii="Arial" w:hAnsi="Arial" w:cs="Arial"/>
          <w:lang w:val="es-CO"/>
        </w:rPr>
        <w:t>Establecer un d</w:t>
      </w:r>
      <w:r w:rsidRPr="003A1C8B">
        <w:rPr>
          <w:rFonts w:ascii="Arial" w:hAnsi="Arial" w:cs="Arial"/>
          <w:lang w:val="es-CO"/>
        </w:rPr>
        <w:t>iagnóstico participativo del uso del espacio público</w:t>
      </w:r>
    </w:p>
    <w:p w14:paraId="044911A5" w14:textId="19BD5BCD" w:rsidR="0078176B" w:rsidRPr="0078176B" w:rsidRDefault="0078176B" w:rsidP="0078176B">
      <w:pPr>
        <w:widowControl w:val="0"/>
        <w:numPr>
          <w:ilvl w:val="1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1418" w:right="335" w:hanging="284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Percepción </w:t>
      </w:r>
      <w:r w:rsidRPr="0078176B">
        <w:rPr>
          <w:rFonts w:ascii="Arial" w:hAnsi="Arial" w:cs="Arial"/>
          <w:lang w:val="es-CO"/>
        </w:rPr>
        <w:t xml:space="preserve">del espacio y  levantamiento de info de interés como posibles </w:t>
      </w:r>
      <w:r w:rsidRPr="003A1C8B">
        <w:rPr>
          <w:rFonts w:ascii="Arial" w:hAnsi="Arial" w:cs="Arial"/>
          <w:lang w:val="es-CO"/>
        </w:rPr>
        <w:t>Conflictos de convivencia</w:t>
      </w:r>
      <w:r w:rsidRPr="0078176B">
        <w:rPr>
          <w:rFonts w:ascii="Arial" w:hAnsi="Arial" w:cs="Arial"/>
          <w:lang w:val="es-CO"/>
        </w:rPr>
        <w:t xml:space="preserve"> </w:t>
      </w:r>
    </w:p>
    <w:p w14:paraId="4F2F5547" w14:textId="2568B5AF" w:rsidR="00915789" w:rsidRPr="003A1C8B" w:rsidRDefault="00224285" w:rsidP="00CE2CE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426" w:right="335"/>
        <w:jc w:val="both"/>
        <w:rPr>
          <w:rFonts w:ascii="Arial" w:hAnsi="Arial" w:cs="Arial"/>
          <w:lang w:val="es-CO"/>
        </w:rPr>
      </w:pPr>
      <w:r w:rsidRPr="00224285">
        <w:rPr>
          <w:rFonts w:ascii="Arial" w:hAnsi="Arial" w:cs="Arial"/>
          <w:b/>
          <w:bCs/>
          <w:lang w:val="es-CO"/>
        </w:rPr>
        <w:t xml:space="preserve">5.1.2 </w:t>
      </w:r>
      <w:r w:rsidR="00C44850" w:rsidRPr="00224285">
        <w:rPr>
          <w:rFonts w:ascii="Arial" w:hAnsi="Arial" w:cs="Arial"/>
          <w:b/>
          <w:bCs/>
          <w:lang w:val="es-CO"/>
        </w:rPr>
        <w:t>Mesas de participación</w:t>
      </w:r>
      <w:r w:rsidR="00915789" w:rsidRPr="003A1C8B">
        <w:rPr>
          <w:rFonts w:ascii="Arial" w:hAnsi="Arial" w:cs="Arial"/>
          <w:b/>
          <w:bCs/>
          <w:lang w:val="es-CO"/>
        </w:rPr>
        <w:t xml:space="preserve"> sobre el modelo ARE</w:t>
      </w:r>
    </w:p>
    <w:p w14:paraId="79D56B1F" w14:textId="72515D44" w:rsidR="00915789" w:rsidRPr="003A1C8B" w:rsidRDefault="00915789" w:rsidP="0078176B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 w:hanging="306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Explicar beneficios: aumento de ventas, visibilidad, activación cultural, mantenimiento garantizado</w:t>
      </w:r>
      <w:r w:rsidR="00C44850" w:rsidRPr="00224285">
        <w:rPr>
          <w:rFonts w:ascii="Arial" w:hAnsi="Arial" w:cs="Arial"/>
          <w:lang w:val="es-CO"/>
        </w:rPr>
        <w:t>, branding territorial, entre otras.</w:t>
      </w:r>
    </w:p>
    <w:p w14:paraId="0B7B7FAC" w14:textId="77777777" w:rsidR="00915789" w:rsidRPr="00224285" w:rsidRDefault="00915789" w:rsidP="00915789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Presentación del modelo financiero y estructura del Fondo ARE.</w:t>
      </w:r>
    </w:p>
    <w:p w14:paraId="197794F5" w14:textId="77777777" w:rsidR="00C44850" w:rsidRPr="00224285" w:rsidRDefault="00C44850" w:rsidP="00C44850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24285">
        <w:rPr>
          <w:rFonts w:ascii="Arial" w:hAnsi="Arial" w:cs="Arial"/>
          <w:lang w:val="es-CO"/>
        </w:rPr>
        <w:t>Planteamiento y apoyo a la organización de las entidades sin ánimo de lucro</w:t>
      </w:r>
    </w:p>
    <w:p w14:paraId="2193ADF4" w14:textId="783BEF2B" w:rsidR="00C44850" w:rsidRPr="00224285" w:rsidRDefault="00C44850" w:rsidP="00C44850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24285">
        <w:rPr>
          <w:rFonts w:ascii="Arial" w:hAnsi="Arial" w:cs="Arial"/>
          <w:lang w:val="es-CO"/>
        </w:rPr>
        <w:t xml:space="preserve">Explicación de la estrategia de </w:t>
      </w:r>
      <w:r w:rsidR="00915789" w:rsidRPr="003A1C8B">
        <w:rPr>
          <w:rFonts w:ascii="Arial" w:hAnsi="Arial" w:cs="Arial"/>
          <w:lang w:val="es-CO"/>
        </w:rPr>
        <w:t>tarifas diferenciadas y etapas de transición</w:t>
      </w:r>
    </w:p>
    <w:p w14:paraId="3A2DD3B6" w14:textId="01F381CE" w:rsidR="00915789" w:rsidRPr="00224285" w:rsidRDefault="00915789" w:rsidP="00C44850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Construcción conjunta del Plan de Ocupación del Espacio Público</w:t>
      </w:r>
      <w:r w:rsidR="00C44850" w:rsidRPr="00224285">
        <w:rPr>
          <w:rFonts w:ascii="Arial" w:hAnsi="Arial" w:cs="Arial"/>
          <w:lang w:val="es-CO"/>
        </w:rPr>
        <w:t xml:space="preserve">: </w:t>
      </w:r>
      <w:r w:rsidRPr="003A1C8B">
        <w:rPr>
          <w:rFonts w:ascii="Arial" w:hAnsi="Arial" w:cs="Arial"/>
          <w:lang w:val="es-CO"/>
        </w:rPr>
        <w:t>Cargas máximas</w:t>
      </w:r>
      <w:r w:rsidR="00C44850" w:rsidRPr="00224285">
        <w:rPr>
          <w:rFonts w:ascii="Arial" w:hAnsi="Arial" w:cs="Arial"/>
          <w:lang w:val="es-CO"/>
        </w:rPr>
        <w:t xml:space="preserve">, </w:t>
      </w:r>
      <w:r w:rsidRPr="003A1C8B">
        <w:rPr>
          <w:rFonts w:ascii="Arial" w:hAnsi="Arial" w:cs="Arial"/>
          <w:lang w:val="es-CO"/>
        </w:rPr>
        <w:t>Horarios</w:t>
      </w:r>
      <w:r w:rsidR="00C44850" w:rsidRPr="00224285">
        <w:rPr>
          <w:rFonts w:ascii="Arial" w:hAnsi="Arial" w:cs="Arial"/>
          <w:lang w:val="es-CO"/>
        </w:rPr>
        <w:t xml:space="preserve">, </w:t>
      </w:r>
      <w:r w:rsidRPr="003A1C8B">
        <w:rPr>
          <w:rFonts w:ascii="Arial" w:hAnsi="Arial" w:cs="Arial"/>
          <w:lang w:val="es-CO"/>
        </w:rPr>
        <w:t>Tipos de mobiliario</w:t>
      </w:r>
      <w:r w:rsidR="00C44850" w:rsidRPr="00224285">
        <w:rPr>
          <w:rFonts w:ascii="Arial" w:hAnsi="Arial" w:cs="Arial"/>
          <w:lang w:val="es-CO"/>
        </w:rPr>
        <w:t>, etc.</w:t>
      </w:r>
    </w:p>
    <w:p w14:paraId="790C93B3" w14:textId="68FAD9AC" w:rsidR="00224285" w:rsidRPr="0078176B" w:rsidRDefault="00CE2CED" w:rsidP="00CE2CE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426" w:right="335"/>
        <w:jc w:val="both"/>
        <w:rPr>
          <w:rFonts w:ascii="Arial" w:hAnsi="Arial" w:cs="Arial"/>
          <w:b/>
          <w:bCs/>
          <w:lang w:val="es-CO"/>
        </w:rPr>
      </w:pPr>
      <w:r w:rsidRPr="0078176B">
        <w:rPr>
          <w:rFonts w:ascii="Arial" w:hAnsi="Arial" w:cs="Arial"/>
          <w:b/>
          <w:bCs/>
          <w:lang w:val="es-CO"/>
        </w:rPr>
        <w:t>5</w:t>
      </w:r>
      <w:r w:rsidR="00224285" w:rsidRPr="0078176B">
        <w:rPr>
          <w:rFonts w:ascii="Arial" w:hAnsi="Arial" w:cs="Arial"/>
          <w:b/>
          <w:bCs/>
          <w:lang w:val="es-CO"/>
        </w:rPr>
        <w:t>.1.3 Socialización de la estrategia construida</w:t>
      </w:r>
    </w:p>
    <w:p w14:paraId="4C3D3F25" w14:textId="1AA42EF9" w:rsidR="00224285" w:rsidRPr="0078176B" w:rsidRDefault="0078176B" w:rsidP="00216D60">
      <w:pPr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  <w:r w:rsidRPr="0078176B">
        <w:rPr>
          <w:rFonts w:ascii="Arial" w:hAnsi="Arial" w:cs="Arial"/>
          <w:lang w:val="es-CO"/>
        </w:rPr>
        <w:t>Espacio de socialización de estrategi</w:t>
      </w:r>
      <w:r>
        <w:rPr>
          <w:rFonts w:ascii="Arial" w:hAnsi="Arial" w:cs="Arial"/>
          <w:lang w:val="es-CO"/>
        </w:rPr>
        <w:t>a para constitución del ARE</w:t>
      </w:r>
    </w:p>
    <w:p w14:paraId="6AB3A658" w14:textId="77777777" w:rsidR="00224285" w:rsidRPr="00224285" w:rsidRDefault="00224285" w:rsidP="00224285">
      <w:pPr>
        <w:pStyle w:val="Prrafodelista"/>
        <w:widowControl w:val="0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1560" w:right="335" w:hanging="426"/>
        <w:jc w:val="both"/>
        <w:rPr>
          <w:rFonts w:ascii="Arial" w:hAnsi="Arial" w:cs="Arial"/>
          <w:lang w:val="es-CO"/>
        </w:rPr>
      </w:pPr>
    </w:p>
    <w:p w14:paraId="72D49E6F" w14:textId="43245DFF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</w:p>
    <w:p w14:paraId="61CF072D" w14:textId="0468B3B8" w:rsidR="00915789" w:rsidRPr="003A1C8B" w:rsidRDefault="00915789" w:rsidP="00224285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 xml:space="preserve">5.2. Componente </w:t>
      </w:r>
      <w:r w:rsidR="00224285">
        <w:rPr>
          <w:rFonts w:ascii="Arial" w:hAnsi="Arial" w:cs="Arial"/>
          <w:b/>
          <w:bCs/>
          <w:lang w:val="es-CO"/>
        </w:rPr>
        <w:t xml:space="preserve">2: </w:t>
      </w:r>
      <w:r w:rsidRPr="003A1C8B">
        <w:rPr>
          <w:rFonts w:ascii="Arial" w:hAnsi="Arial" w:cs="Arial"/>
          <w:b/>
          <w:bCs/>
          <w:lang w:val="es-CO"/>
        </w:rPr>
        <w:t>Ciudadanía y Usuarios</w:t>
      </w:r>
    </w:p>
    <w:p w14:paraId="5E53371E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Objetivo</w:t>
      </w:r>
    </w:p>
    <w:p w14:paraId="397657B6" w14:textId="77777777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Garantizar participación amplia que permita validar la pertinencia social del ARE y construir reglas que respondan a las necesidades de convivencia y calidad urbana.</w:t>
      </w:r>
    </w:p>
    <w:p w14:paraId="445FD9F3" w14:textId="77777777" w:rsidR="00CE2CED" w:rsidRPr="00CE2CED" w:rsidRDefault="00915789" w:rsidP="00CE2CED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b/>
          <w:bCs/>
          <w:lang w:val="es-CO"/>
        </w:rPr>
      </w:pPr>
      <w:r w:rsidRPr="003A1C8B">
        <w:rPr>
          <w:rFonts w:ascii="Arial" w:hAnsi="Arial" w:cs="Arial"/>
          <w:b/>
          <w:bCs/>
          <w:lang w:val="es-CO"/>
        </w:rPr>
        <w:t>Actividades</w:t>
      </w:r>
    </w:p>
    <w:p w14:paraId="03B9CB8E" w14:textId="1BA5590A" w:rsidR="00CE2CED" w:rsidRPr="0078176B" w:rsidRDefault="00CE2CED" w:rsidP="00CE2CED">
      <w:pPr>
        <w:pStyle w:val="Prrafodelista"/>
        <w:widowControl w:val="0"/>
        <w:numPr>
          <w:ilvl w:val="2"/>
          <w:numId w:val="23"/>
        </w:numPr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  <w:r w:rsidRPr="0078176B">
        <w:rPr>
          <w:rFonts w:ascii="Arial" w:hAnsi="Arial" w:cs="Arial"/>
          <w:b/>
          <w:bCs/>
          <w:lang w:val="es-CO"/>
        </w:rPr>
        <w:t xml:space="preserve">Reuniones con líderes ciudadanos y veeduría </w:t>
      </w:r>
    </w:p>
    <w:p w14:paraId="1AC6F5FF" w14:textId="77777777" w:rsidR="00CE2CED" w:rsidRDefault="00915789" w:rsidP="00CE2CED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Diagnóstico participativo del uso del espacio público</w:t>
      </w:r>
    </w:p>
    <w:p w14:paraId="612DC85E" w14:textId="659ABBDD" w:rsidR="00CE2CED" w:rsidRPr="003A1C8B" w:rsidRDefault="00CE2CED" w:rsidP="00CE2CED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CE2CED">
        <w:rPr>
          <w:rFonts w:ascii="Arial" w:hAnsi="Arial" w:cs="Arial"/>
          <w:lang w:val="es-CO"/>
        </w:rPr>
        <w:t>Explicar qué es un ARE y cómo la comunidad se vería beneficiada a partir de su conformación.</w:t>
      </w:r>
    </w:p>
    <w:p w14:paraId="71DC1A5A" w14:textId="597E36FF" w:rsidR="00915789" w:rsidRPr="003A1C8B" w:rsidRDefault="00915789" w:rsidP="00224285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 xml:space="preserve">Percepción </w:t>
      </w:r>
      <w:r w:rsidR="00224285" w:rsidRPr="00224285">
        <w:rPr>
          <w:rFonts w:ascii="Arial" w:hAnsi="Arial" w:cs="Arial"/>
          <w:lang w:val="es-CO"/>
        </w:rPr>
        <w:t xml:space="preserve">del espacio y  </w:t>
      </w:r>
      <w:r w:rsidR="00CE2CED">
        <w:rPr>
          <w:rFonts w:ascii="Arial" w:hAnsi="Arial" w:cs="Arial"/>
          <w:lang w:val="es-CO"/>
        </w:rPr>
        <w:t xml:space="preserve">levantamiento de info de interés como posibles </w:t>
      </w:r>
      <w:r w:rsidRPr="003A1C8B">
        <w:rPr>
          <w:rFonts w:ascii="Arial" w:hAnsi="Arial" w:cs="Arial"/>
          <w:lang w:val="es-CO"/>
        </w:rPr>
        <w:t>Conflictos de convivencia</w:t>
      </w:r>
      <w:r w:rsidR="00CE2CED">
        <w:rPr>
          <w:rFonts w:ascii="Arial" w:hAnsi="Arial" w:cs="Arial"/>
          <w:lang w:val="es-CO"/>
        </w:rPr>
        <w:t xml:space="preserve"> </w:t>
      </w:r>
      <w:r w:rsidR="0078176B">
        <w:rPr>
          <w:rFonts w:ascii="Arial" w:hAnsi="Arial" w:cs="Arial"/>
          <w:lang w:val="es-CO"/>
        </w:rPr>
        <w:t>.</w:t>
      </w:r>
    </w:p>
    <w:p w14:paraId="1FAA6F91" w14:textId="415C3318" w:rsidR="00CE2CED" w:rsidRPr="0078176B" w:rsidRDefault="00CE2CED" w:rsidP="00EA7052">
      <w:pPr>
        <w:pStyle w:val="Prrafodelista"/>
        <w:widowControl w:val="0"/>
        <w:numPr>
          <w:ilvl w:val="2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  <w:r w:rsidRPr="0078176B">
        <w:rPr>
          <w:rFonts w:ascii="Arial" w:hAnsi="Arial" w:cs="Arial"/>
          <w:b/>
          <w:bCs/>
          <w:lang w:val="es-CO"/>
        </w:rPr>
        <w:t>Mesas de participación sobre el modelo ARE</w:t>
      </w:r>
    </w:p>
    <w:p w14:paraId="79F34A48" w14:textId="492632F8" w:rsidR="0078176B" w:rsidRPr="003A1C8B" w:rsidRDefault="0078176B" w:rsidP="0078176B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Explicar beneficios</w:t>
      </w:r>
      <w:r>
        <w:rPr>
          <w:rFonts w:ascii="Arial" w:hAnsi="Arial" w:cs="Arial"/>
          <w:lang w:val="es-CO"/>
        </w:rPr>
        <w:t xml:space="preserve"> para la ciudadanía.</w:t>
      </w:r>
    </w:p>
    <w:p w14:paraId="54606DF3" w14:textId="20E3404B" w:rsidR="0078176B" w:rsidRPr="0078176B" w:rsidRDefault="0078176B" w:rsidP="0078176B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Construcción de acuerdos de convivencia.</w:t>
      </w:r>
    </w:p>
    <w:p w14:paraId="03DD5E0E" w14:textId="755033E1" w:rsidR="0078176B" w:rsidRPr="0078176B" w:rsidRDefault="0078176B" w:rsidP="00071746">
      <w:pPr>
        <w:pStyle w:val="Prrafodelista"/>
        <w:widowControl w:val="0"/>
        <w:numPr>
          <w:ilvl w:val="2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b/>
          <w:bCs/>
          <w:lang w:val="es-CO"/>
        </w:rPr>
        <w:t>Conformación de c</w:t>
      </w:r>
      <w:r w:rsidR="00CE2CED" w:rsidRPr="003A1C8B">
        <w:rPr>
          <w:rFonts w:ascii="Arial" w:hAnsi="Arial" w:cs="Arial"/>
          <w:b/>
          <w:bCs/>
          <w:lang w:val="es-CO"/>
        </w:rPr>
        <w:t>omités ciudadanos del ARE</w:t>
      </w:r>
    </w:p>
    <w:p w14:paraId="4BD9F6C9" w14:textId="6FD1B479" w:rsidR="0078176B" w:rsidRPr="0078176B" w:rsidRDefault="0078176B" w:rsidP="0078176B">
      <w:pPr>
        <w:widowControl w:val="0"/>
        <w:numPr>
          <w:ilvl w:val="1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Constitución de </w:t>
      </w:r>
      <w:r w:rsidRPr="003A1C8B">
        <w:rPr>
          <w:rFonts w:ascii="Arial" w:hAnsi="Arial" w:cs="Arial"/>
          <w:lang w:val="es-CO"/>
        </w:rPr>
        <w:t>Vocerías formales ante la Junta del ARE.</w:t>
      </w:r>
    </w:p>
    <w:p w14:paraId="73054FF7" w14:textId="5A352048" w:rsidR="00915789" w:rsidRPr="003A1C8B" w:rsidRDefault="00915789" w:rsidP="00915789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</w:rPr>
      </w:pPr>
    </w:p>
    <w:p w14:paraId="63F81BAD" w14:textId="3E3C8B85" w:rsidR="00284C0C" w:rsidRDefault="00915789" w:rsidP="00284C0C">
      <w:pPr>
        <w:pStyle w:val="Prrafodelista"/>
        <w:widowControl w:val="0"/>
        <w:numPr>
          <w:ilvl w:val="0"/>
          <w:numId w:val="2"/>
        </w:numPr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Conclusiones</w:t>
      </w:r>
    </w:p>
    <w:p w14:paraId="3806616F" w14:textId="77777777" w:rsidR="00284C0C" w:rsidRDefault="00284C0C" w:rsidP="00284C0C">
      <w:pPr>
        <w:pStyle w:val="NormalWeb"/>
        <w:ind w:left="360"/>
        <w:jc w:val="both"/>
        <w:rPr>
          <w:rFonts w:ascii="Arial" w:hAnsi="Arial" w:cs="Arial"/>
        </w:rPr>
      </w:pPr>
      <w:r w:rsidRPr="00284C0C">
        <w:rPr>
          <w:rFonts w:ascii="Arial" w:hAnsi="Arial" w:cs="Arial"/>
        </w:rPr>
        <w:t>La Estrategia de Vinculación Social y Comercial para la implementación de las Áreas de Revitalización Económica (ARE) en Pereira constituye un elemento fundamental para asegurar la viabilidad técnica, social y operativa del instrumento. Su enfoque participativo permite que el ARE no sea únicamente una figura normativa o financiera, sino un proceso de construcción colectiva del territorio.</w:t>
      </w:r>
    </w:p>
    <w:p w14:paraId="67D49EC9" w14:textId="77777777" w:rsidR="00284C0C" w:rsidRDefault="00284C0C" w:rsidP="00284C0C">
      <w:pPr>
        <w:pStyle w:val="NormalWeb"/>
        <w:ind w:left="360"/>
        <w:jc w:val="both"/>
        <w:rPr>
          <w:rFonts w:ascii="Arial" w:hAnsi="Arial" w:cs="Arial"/>
        </w:rPr>
      </w:pPr>
      <w:r w:rsidRPr="00284C0C">
        <w:rPr>
          <w:rFonts w:ascii="Arial" w:hAnsi="Arial" w:cs="Arial"/>
        </w:rPr>
        <w:t xml:space="preserve">La estrategia facilita la </w:t>
      </w:r>
      <w:r w:rsidRPr="00284C0C">
        <w:rPr>
          <w:rStyle w:val="Textoennegrita"/>
          <w:rFonts w:ascii="Arial" w:hAnsi="Arial" w:cs="Arial"/>
        </w:rPr>
        <w:t>articulación efectiva entre el aprovechamiento económico del espacio público (AEEP) y el modelo ARE</w:t>
      </w:r>
      <w:r w:rsidRPr="00284C0C">
        <w:rPr>
          <w:rFonts w:ascii="Arial" w:hAnsi="Arial" w:cs="Arial"/>
        </w:rPr>
        <w:t>, permitiendo que las reglas tarifarias, los esquemas de ocupación y la gestión del espacio público sean comprendidos, aceptados y apropiados por los actores directamente involucrados.</w:t>
      </w:r>
    </w:p>
    <w:p w14:paraId="62DC7F73" w14:textId="77777777" w:rsidR="00284C0C" w:rsidRDefault="00284C0C" w:rsidP="00284C0C">
      <w:pPr>
        <w:pStyle w:val="NormalWeb"/>
        <w:ind w:left="360"/>
        <w:jc w:val="both"/>
        <w:rPr>
          <w:rFonts w:ascii="Arial" w:hAnsi="Arial" w:cs="Arial"/>
        </w:rPr>
      </w:pPr>
      <w:r w:rsidRPr="00284C0C">
        <w:rPr>
          <w:rFonts w:ascii="Arial" w:hAnsi="Arial" w:cs="Arial"/>
        </w:rPr>
        <w:t xml:space="preserve">Asimismo, el proceso de vinculación con comerciantes y ciudadanía fortalece la </w:t>
      </w:r>
      <w:r w:rsidRPr="00284C0C">
        <w:rPr>
          <w:rStyle w:val="Textoennegrita"/>
          <w:rFonts w:ascii="Arial" w:hAnsi="Arial" w:cs="Arial"/>
        </w:rPr>
        <w:t>legitimidad social del modelo</w:t>
      </w:r>
      <w:r w:rsidRPr="00284C0C">
        <w:rPr>
          <w:rFonts w:ascii="Arial" w:hAnsi="Arial" w:cs="Arial"/>
        </w:rPr>
        <w:t>, reduce conflictos asociados al uso del espacio público y promueve la corresponsabilidad en su cuidado, mantenimiento y activación. La creación de espacios de diálogo, mesas de participación y vocerías formales garantiza una gobernanza abierta, transparente y representativa.</w:t>
      </w:r>
    </w:p>
    <w:p w14:paraId="40125756" w14:textId="77777777" w:rsidR="00284C0C" w:rsidRPr="00284C0C" w:rsidRDefault="00284C0C" w:rsidP="00284C0C">
      <w:pPr>
        <w:pStyle w:val="NormalWeb"/>
        <w:ind w:left="360"/>
        <w:jc w:val="both"/>
        <w:rPr>
          <w:rFonts w:ascii="Arial" w:hAnsi="Arial" w:cs="Arial"/>
        </w:rPr>
      </w:pPr>
      <w:r w:rsidRPr="00284C0C">
        <w:rPr>
          <w:rFonts w:ascii="Arial" w:hAnsi="Arial" w:cs="Arial"/>
        </w:rPr>
        <w:t xml:space="preserve">Finalmente, la estrategia sienta las bases para la </w:t>
      </w:r>
      <w:r w:rsidRPr="00284C0C">
        <w:rPr>
          <w:rStyle w:val="Textoennegrita"/>
          <w:rFonts w:ascii="Arial" w:hAnsi="Arial" w:cs="Arial"/>
        </w:rPr>
        <w:t>conformación de un ente administrador del ARE</w:t>
      </w:r>
      <w:r w:rsidRPr="00284C0C">
        <w:rPr>
          <w:rFonts w:ascii="Arial" w:hAnsi="Arial" w:cs="Arial"/>
        </w:rPr>
        <w:t xml:space="preserve">, capaz de operar el modelo en campo, gestionar los </w:t>
      </w:r>
      <w:r w:rsidRPr="00284C0C">
        <w:rPr>
          <w:rFonts w:ascii="Arial" w:hAnsi="Arial" w:cs="Arial"/>
        </w:rPr>
        <w:lastRenderedPageBreak/>
        <w:t>recursos del Fondo ARE y asegurar la reinversión local, contribuyendo a la sostenibilidad económica, urbana y social del área intervenida.</w:t>
      </w:r>
    </w:p>
    <w:p w14:paraId="1AAD620D" w14:textId="77777777" w:rsidR="00284C0C" w:rsidRPr="003A1C8B" w:rsidRDefault="00284C0C" w:rsidP="00284C0C">
      <w:pPr>
        <w:widowControl w:val="0"/>
        <w:autoSpaceDE w:val="0"/>
        <w:autoSpaceDN w:val="0"/>
        <w:spacing w:before="156"/>
        <w:ind w:left="335"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La estrategia de vinculación presentada permite:</w:t>
      </w:r>
    </w:p>
    <w:p w14:paraId="08973E1B" w14:textId="77777777" w:rsidR="00284C0C" w:rsidRPr="003A1C8B" w:rsidRDefault="00284C0C" w:rsidP="00284C0C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Construir legitimidad social del proyecto.</w:t>
      </w:r>
    </w:p>
    <w:p w14:paraId="2D3639D2" w14:textId="77777777" w:rsidR="00284C0C" w:rsidRPr="003A1C8B" w:rsidRDefault="00284C0C" w:rsidP="00284C0C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Reducir resistencias y facilitar la formalización progresiva.</w:t>
      </w:r>
    </w:p>
    <w:p w14:paraId="145506FB" w14:textId="77777777" w:rsidR="00284C0C" w:rsidRPr="003A1C8B" w:rsidRDefault="00284C0C" w:rsidP="00284C0C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Cumplir con los nuevos lineamientos tarifarios y de operación del AEEP.</w:t>
      </w:r>
    </w:p>
    <w:p w14:paraId="1CF98EEC" w14:textId="77777777" w:rsidR="00284C0C" w:rsidRPr="003A1C8B" w:rsidRDefault="00284C0C" w:rsidP="00284C0C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Garantizar gobernanza colaborativa y transparencia.</w:t>
      </w:r>
    </w:p>
    <w:p w14:paraId="55613CEF" w14:textId="3B584AC6" w:rsidR="00284C0C" w:rsidRPr="00284C0C" w:rsidRDefault="00284C0C" w:rsidP="00284C0C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3A1C8B">
        <w:rPr>
          <w:rFonts w:ascii="Arial" w:hAnsi="Arial" w:cs="Arial"/>
          <w:lang w:val="es-CO"/>
        </w:rPr>
        <w:t>Asegurar que los recursos recaudados se reinviertan en la misma área, tal como lo exigen los lineamientos del modelo ARE</w:t>
      </w:r>
    </w:p>
    <w:p w14:paraId="5CA237A8" w14:textId="77777777" w:rsidR="00284C0C" w:rsidRDefault="00284C0C" w:rsidP="00284C0C">
      <w:pPr>
        <w:pStyle w:val="Prrafodelista"/>
        <w:widowControl w:val="0"/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</w:p>
    <w:p w14:paraId="17834A56" w14:textId="3823D11E" w:rsidR="00284C0C" w:rsidRPr="00284C0C" w:rsidRDefault="00284C0C" w:rsidP="00284C0C">
      <w:pPr>
        <w:pStyle w:val="Prrafodelista"/>
        <w:widowControl w:val="0"/>
        <w:numPr>
          <w:ilvl w:val="0"/>
          <w:numId w:val="2"/>
        </w:numPr>
        <w:autoSpaceDE w:val="0"/>
        <w:autoSpaceDN w:val="0"/>
        <w:spacing w:before="156"/>
        <w:ind w:right="335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>Recomendaciones Finales</w:t>
      </w:r>
    </w:p>
    <w:p w14:paraId="52FF38F8" w14:textId="77777777" w:rsidR="00284C0C" w:rsidRPr="00284C0C" w:rsidRDefault="00284C0C" w:rsidP="00284C0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36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Con el fin de fortalecer la implementación de la estrategia y maximizar los impactos del modelo ARE, se plantean las siguientes recomendaciones:</w:t>
      </w:r>
    </w:p>
    <w:p w14:paraId="4B9F6615" w14:textId="77777777" w:rsidR="00284C0C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Adoptar un enfoque gradual y pedagógico</w:t>
      </w:r>
    </w:p>
    <w:p w14:paraId="243957D1" w14:textId="388E715A" w:rsidR="00284C0C" w:rsidRPr="00284C0C" w:rsidRDefault="00284C0C" w:rsidP="00284C0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Se recomienda que la implementación del ARE y de las tarifas asociadas al AEEP se realice de manera progresiva, acompañada de procesos pedagógicos permanentes que faciliten la comprensión del modelo, sus beneficios y obligaciones.</w:t>
      </w:r>
    </w:p>
    <w:p w14:paraId="53F640EF" w14:textId="77777777" w:rsidR="00284C0C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Formalizar las mesas de participación como instancias permanente</w:t>
      </w:r>
    </w:p>
    <w:p w14:paraId="46EAA413" w14:textId="65F06F99" w:rsidR="00284C0C" w:rsidRPr="00284C0C" w:rsidRDefault="00284C0C" w:rsidP="00284C0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Las mesas de comerciantes, ciudadanía y actores institucionales deben consolidarse como espacios periódicos de seguimiento, evaluación y ajuste del ARE, más allá de la fase inicial de formulación.</w:t>
      </w:r>
    </w:p>
    <w:p w14:paraId="46D8171C" w14:textId="77777777" w:rsidR="00E25DD6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Fortalecer la comunicación y transparencia del proceso</w:t>
      </w:r>
    </w:p>
    <w:p w14:paraId="32A53AC1" w14:textId="4B8EF84A" w:rsidR="00284C0C" w:rsidRPr="00284C0C" w:rsidRDefault="00284C0C" w:rsidP="00E25DD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Es clave implementar mecanismos claros de comunicación (boletines, informes, tableros de indicadores) que permitan a comerciantes y ciudadanía conocer qué se recauda, cómo se invierte y cuáles son los resultados del ARE.</w:t>
      </w:r>
    </w:p>
    <w:p w14:paraId="54ED1638" w14:textId="77777777" w:rsidR="00E25DD6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Garantizar la representatividad en la Junta del ARE</w:t>
      </w:r>
    </w:p>
    <w:p w14:paraId="07CBCD64" w14:textId="47BA6623" w:rsidR="00284C0C" w:rsidRPr="00284C0C" w:rsidRDefault="00284C0C" w:rsidP="00E25DD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La conformación de la Junta del ARE debe asegurar una participación equilibrada de comerciantes, ciudadanía, veedurías y Administración Municipal, evitando la concentración de decisiones y fortaleciendo la confianza en el modelo.</w:t>
      </w:r>
    </w:p>
    <w:p w14:paraId="64FBA02B" w14:textId="77777777" w:rsidR="00E25DD6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Priorizar proyectos visibles de corto plazo</w:t>
      </w:r>
    </w:p>
    <w:p w14:paraId="30932F8C" w14:textId="3B7A7C34" w:rsidR="00284C0C" w:rsidRPr="00284C0C" w:rsidRDefault="00284C0C" w:rsidP="00E25DD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Se recomienda destinar los primeros recursos del Fondo ARE a intervenciones visibles y de alto impacto (limpieza, iluminación, mobiliario, activaciones culturales), que permitan evidenciar rápidamente los beneficios del modelo y consolidar apoyo social.</w:t>
      </w:r>
    </w:p>
    <w:p w14:paraId="06698A72" w14:textId="77777777" w:rsidR="00E25DD6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t>Articular el ARE con otras políticas y programas municipales</w:t>
      </w:r>
    </w:p>
    <w:p w14:paraId="1993ECDF" w14:textId="40A7F4DD" w:rsidR="00284C0C" w:rsidRPr="00284C0C" w:rsidRDefault="00284C0C" w:rsidP="00E25DD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El ARE debe coordinarse con programas de seguridad, cultura, turismo, movilidad y desarrollo económico, de manera que las intervenciones sean integrales y coherentes con la planificación urbana del municipio.</w:t>
      </w:r>
    </w:p>
    <w:p w14:paraId="1C3C5860" w14:textId="77777777" w:rsidR="00E25DD6" w:rsidRDefault="00284C0C" w:rsidP="00284C0C">
      <w:pPr>
        <w:widowControl w:val="0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b/>
          <w:bCs/>
          <w:lang w:val="es-CO"/>
        </w:rPr>
        <w:lastRenderedPageBreak/>
        <w:t>Monitorear y ajustar el modelo de forma periódica</w:t>
      </w:r>
    </w:p>
    <w:p w14:paraId="40CCF3B1" w14:textId="49FA23CD" w:rsidR="00284C0C" w:rsidRPr="00284C0C" w:rsidRDefault="00284C0C" w:rsidP="00E25DD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56"/>
        <w:ind w:left="720" w:right="335"/>
        <w:jc w:val="both"/>
        <w:rPr>
          <w:rFonts w:ascii="Arial" w:hAnsi="Arial" w:cs="Arial"/>
          <w:lang w:val="es-CO"/>
        </w:rPr>
      </w:pPr>
      <w:r w:rsidRPr="00284C0C">
        <w:rPr>
          <w:rFonts w:ascii="Arial" w:hAnsi="Arial" w:cs="Arial"/>
          <w:lang w:val="es-CO"/>
        </w:rPr>
        <w:t>Se recomienda establecer indicadores claros de desempeño social, económico y urbano, que permitan evaluar el impacto del ARE y realizar ajustes oportunos en tarifas, reglas de uso o esquemas de gobernanza.</w:t>
      </w:r>
    </w:p>
    <w:p w14:paraId="18A0244A" w14:textId="77777777" w:rsidR="00BA3109" w:rsidRPr="00224285" w:rsidRDefault="00BA3109" w:rsidP="00540820">
      <w:pPr>
        <w:jc w:val="both"/>
        <w:rPr>
          <w:rFonts w:ascii="Arial" w:hAnsi="Arial" w:cs="Arial"/>
          <w:lang w:val="es-CO"/>
        </w:rPr>
      </w:pPr>
    </w:p>
    <w:p w14:paraId="23603984" w14:textId="77777777" w:rsidR="00BA3109" w:rsidRPr="00224285" w:rsidRDefault="00BA3109" w:rsidP="00540820">
      <w:pPr>
        <w:jc w:val="both"/>
        <w:rPr>
          <w:rFonts w:ascii="Arial" w:hAnsi="Arial" w:cs="Arial"/>
          <w:lang w:val="es-CO"/>
        </w:rPr>
      </w:pPr>
    </w:p>
    <w:p w14:paraId="57490119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16099710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37EAD0F4" w14:textId="77777777" w:rsidR="00872E4D" w:rsidRPr="00224285" w:rsidRDefault="00872E4D" w:rsidP="00872E4D">
      <w:pPr>
        <w:jc w:val="center"/>
        <w:rPr>
          <w:rFonts w:ascii="Arial" w:hAnsi="Arial" w:cs="Arial"/>
          <w:lang w:val="es-CO"/>
        </w:rPr>
      </w:pPr>
    </w:p>
    <w:p w14:paraId="5B7C675E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7AF958E3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406BCB0F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4C863826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2646B93B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721382DD" w14:textId="77777777" w:rsidR="00872E4D" w:rsidRPr="00224285" w:rsidRDefault="00872E4D" w:rsidP="00872E4D">
      <w:pPr>
        <w:rPr>
          <w:rFonts w:ascii="Arial" w:hAnsi="Arial" w:cs="Arial"/>
          <w:lang w:val="es-CO"/>
        </w:rPr>
      </w:pPr>
    </w:p>
    <w:p w14:paraId="601D4B14" w14:textId="27AAD2F6" w:rsidR="00872E4D" w:rsidRPr="00224285" w:rsidRDefault="00F21715" w:rsidP="0078176B">
      <w:pPr>
        <w:tabs>
          <w:tab w:val="left" w:pos="5550"/>
        </w:tabs>
        <w:rPr>
          <w:rFonts w:ascii="Arial" w:hAnsi="Arial" w:cs="Arial"/>
          <w:lang w:val="es-CO"/>
        </w:rPr>
      </w:pPr>
      <w:r w:rsidRPr="00224285">
        <w:rPr>
          <w:rFonts w:ascii="Arial" w:hAnsi="Arial" w:cs="Arial"/>
          <w:lang w:val="es-CO"/>
        </w:rPr>
        <w:tab/>
      </w:r>
    </w:p>
    <w:sectPr w:rsidR="00872E4D" w:rsidRPr="00224285" w:rsidSect="00915789">
      <w:headerReference w:type="default" r:id="rId7"/>
      <w:footerReference w:type="default" r:id="rId8"/>
      <w:pgSz w:w="12183" w:h="17858" w:code="34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C07A" w14:textId="77777777" w:rsidR="00D75D3E" w:rsidRDefault="00D75D3E" w:rsidP="00723CBD">
      <w:r>
        <w:separator/>
      </w:r>
    </w:p>
  </w:endnote>
  <w:endnote w:type="continuationSeparator" w:id="0">
    <w:p w14:paraId="30381DF6" w14:textId="77777777" w:rsidR="00D75D3E" w:rsidRDefault="00D75D3E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AAC4" w14:textId="77777777" w:rsidR="00D75D3E" w:rsidRDefault="00D75D3E" w:rsidP="00723CBD">
      <w:r>
        <w:separator/>
      </w:r>
    </w:p>
  </w:footnote>
  <w:footnote w:type="continuationSeparator" w:id="0">
    <w:p w14:paraId="2E060D44" w14:textId="77777777" w:rsidR="00D75D3E" w:rsidRDefault="00D75D3E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DFA4" w14:textId="05BBEE96" w:rsidR="00F321A1" w:rsidRPr="00D96CB3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116669554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F321A1"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="00F321A1"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02E8"/>
    <w:multiLevelType w:val="multilevel"/>
    <w:tmpl w:val="5238C9A6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6383BCA"/>
    <w:multiLevelType w:val="multilevel"/>
    <w:tmpl w:val="0804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A756E"/>
    <w:multiLevelType w:val="multilevel"/>
    <w:tmpl w:val="876C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1454E"/>
    <w:multiLevelType w:val="multilevel"/>
    <w:tmpl w:val="13FE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6369A"/>
    <w:multiLevelType w:val="multilevel"/>
    <w:tmpl w:val="FDF6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97E34"/>
    <w:multiLevelType w:val="hybridMultilevel"/>
    <w:tmpl w:val="B10EE256"/>
    <w:lvl w:ilvl="0" w:tplc="240A0003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6" w15:restartNumberingAfterBreak="0">
    <w:nsid w:val="2C393601"/>
    <w:multiLevelType w:val="multilevel"/>
    <w:tmpl w:val="0D445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34517"/>
    <w:multiLevelType w:val="multilevel"/>
    <w:tmpl w:val="97DA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550EA"/>
    <w:multiLevelType w:val="hybridMultilevel"/>
    <w:tmpl w:val="E0BE7DC0"/>
    <w:lvl w:ilvl="0" w:tplc="AD6692A0">
      <w:start w:val="1"/>
      <w:numFmt w:val="bullet"/>
      <w:lvlText w:val="o"/>
      <w:lvlJc w:val="left"/>
      <w:pPr>
        <w:ind w:left="720" w:hanging="360"/>
      </w:pPr>
      <w:rPr>
        <w:rFonts w:ascii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07EF6"/>
    <w:multiLevelType w:val="multilevel"/>
    <w:tmpl w:val="C8F2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4E6CC9"/>
    <w:multiLevelType w:val="multilevel"/>
    <w:tmpl w:val="403ED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267FA1"/>
    <w:multiLevelType w:val="multilevel"/>
    <w:tmpl w:val="11926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F13781"/>
    <w:multiLevelType w:val="multilevel"/>
    <w:tmpl w:val="1192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865D3F"/>
    <w:multiLevelType w:val="multilevel"/>
    <w:tmpl w:val="E864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EC6757"/>
    <w:multiLevelType w:val="multilevel"/>
    <w:tmpl w:val="89502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D92FBD"/>
    <w:multiLevelType w:val="hybridMultilevel"/>
    <w:tmpl w:val="47C24064"/>
    <w:lvl w:ilvl="0" w:tplc="240A0003">
      <w:start w:val="1"/>
      <w:numFmt w:val="bullet"/>
      <w:lvlText w:val="o"/>
      <w:lvlJc w:val="left"/>
      <w:pPr>
        <w:ind w:left="1055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6" w15:restartNumberingAfterBreak="0">
    <w:nsid w:val="62716710"/>
    <w:multiLevelType w:val="hybridMultilevel"/>
    <w:tmpl w:val="70387502"/>
    <w:lvl w:ilvl="0" w:tplc="24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4F527B2A">
      <w:start w:val="1"/>
      <w:numFmt w:val="bullet"/>
      <w:lvlText w:val="o"/>
      <w:lvlJc w:val="left"/>
      <w:pPr>
        <w:ind w:left="1353" w:hanging="360"/>
      </w:pPr>
      <w:rPr>
        <w:rFonts w:ascii="Arial" w:hAnsi="Arial" w:cs="Arial" w:hint="default"/>
        <w:sz w:val="24"/>
        <w:szCs w:val="24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6274561"/>
    <w:multiLevelType w:val="multilevel"/>
    <w:tmpl w:val="9AC4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9E76EF"/>
    <w:multiLevelType w:val="multilevel"/>
    <w:tmpl w:val="E4029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A29CB"/>
    <w:multiLevelType w:val="multilevel"/>
    <w:tmpl w:val="1BBECE5A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6CD45B3C"/>
    <w:multiLevelType w:val="multilevel"/>
    <w:tmpl w:val="A056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35DDE"/>
    <w:multiLevelType w:val="multilevel"/>
    <w:tmpl w:val="79E4880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5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800"/>
      </w:pPr>
      <w:rPr>
        <w:rFonts w:hint="default"/>
      </w:rPr>
    </w:lvl>
  </w:abstractNum>
  <w:abstractNum w:abstractNumId="22" w15:restartNumberingAfterBreak="0">
    <w:nsid w:val="6E3F404A"/>
    <w:multiLevelType w:val="multilevel"/>
    <w:tmpl w:val="55D4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5A4EF2"/>
    <w:multiLevelType w:val="hybridMultilevel"/>
    <w:tmpl w:val="B6EC0D98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8006A7E"/>
    <w:multiLevelType w:val="multilevel"/>
    <w:tmpl w:val="84F67BE4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5" w15:restartNumberingAfterBreak="0">
    <w:nsid w:val="7823299E"/>
    <w:multiLevelType w:val="multilevel"/>
    <w:tmpl w:val="B79675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2621555">
    <w:abstractNumId w:val="1"/>
  </w:num>
  <w:num w:numId="2" w16cid:durableId="1731611252">
    <w:abstractNumId w:val="14"/>
  </w:num>
  <w:num w:numId="3" w16cid:durableId="288436585">
    <w:abstractNumId w:val="12"/>
  </w:num>
  <w:num w:numId="4" w16cid:durableId="463426118">
    <w:abstractNumId w:val="13"/>
  </w:num>
  <w:num w:numId="5" w16cid:durableId="647706136">
    <w:abstractNumId w:val="25"/>
  </w:num>
  <w:num w:numId="6" w16cid:durableId="913315102">
    <w:abstractNumId w:val="20"/>
  </w:num>
  <w:num w:numId="7" w16cid:durableId="1834757101">
    <w:abstractNumId w:val="11"/>
  </w:num>
  <w:num w:numId="8" w16cid:durableId="1853950381">
    <w:abstractNumId w:val="17"/>
  </w:num>
  <w:num w:numId="9" w16cid:durableId="1699768261">
    <w:abstractNumId w:val="22"/>
  </w:num>
  <w:num w:numId="10" w16cid:durableId="2073699471">
    <w:abstractNumId w:val="7"/>
  </w:num>
  <w:num w:numId="11" w16cid:durableId="1170096846">
    <w:abstractNumId w:val="10"/>
  </w:num>
  <w:num w:numId="12" w16cid:durableId="1701007122">
    <w:abstractNumId w:val="6"/>
  </w:num>
  <w:num w:numId="13" w16cid:durableId="1647121483">
    <w:abstractNumId w:val="2"/>
  </w:num>
  <w:num w:numId="14" w16cid:durableId="826870477">
    <w:abstractNumId w:val="9"/>
  </w:num>
  <w:num w:numId="15" w16cid:durableId="1248733257">
    <w:abstractNumId w:val="3"/>
  </w:num>
  <w:num w:numId="16" w16cid:durableId="405692453">
    <w:abstractNumId w:val="4"/>
  </w:num>
  <w:num w:numId="17" w16cid:durableId="2031175118">
    <w:abstractNumId w:val="8"/>
  </w:num>
  <w:num w:numId="18" w16cid:durableId="941258443">
    <w:abstractNumId w:val="24"/>
  </w:num>
  <w:num w:numId="19" w16cid:durableId="16086293">
    <w:abstractNumId w:val="23"/>
  </w:num>
  <w:num w:numId="20" w16cid:durableId="1839886676">
    <w:abstractNumId w:val="19"/>
  </w:num>
  <w:num w:numId="21" w16cid:durableId="819494835">
    <w:abstractNumId w:val="0"/>
  </w:num>
  <w:num w:numId="22" w16cid:durableId="649871119">
    <w:abstractNumId w:val="15"/>
  </w:num>
  <w:num w:numId="23" w16cid:durableId="1496451683">
    <w:abstractNumId w:val="21"/>
  </w:num>
  <w:num w:numId="24" w16cid:durableId="2120946446">
    <w:abstractNumId w:val="5"/>
  </w:num>
  <w:num w:numId="25" w16cid:durableId="83770997">
    <w:abstractNumId w:val="16"/>
  </w:num>
  <w:num w:numId="26" w16cid:durableId="8529596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24285"/>
    <w:rsid w:val="00284C0C"/>
    <w:rsid w:val="002964FA"/>
    <w:rsid w:val="00413D7A"/>
    <w:rsid w:val="00470D2A"/>
    <w:rsid w:val="004A150B"/>
    <w:rsid w:val="004C454C"/>
    <w:rsid w:val="00540820"/>
    <w:rsid w:val="005B3E53"/>
    <w:rsid w:val="005E220D"/>
    <w:rsid w:val="005E4250"/>
    <w:rsid w:val="00623EB7"/>
    <w:rsid w:val="00673EF9"/>
    <w:rsid w:val="006A053C"/>
    <w:rsid w:val="006A5825"/>
    <w:rsid w:val="0070008A"/>
    <w:rsid w:val="00713E90"/>
    <w:rsid w:val="00723CBD"/>
    <w:rsid w:val="007413A3"/>
    <w:rsid w:val="007763EF"/>
    <w:rsid w:val="0078176B"/>
    <w:rsid w:val="007E3A45"/>
    <w:rsid w:val="008170EA"/>
    <w:rsid w:val="00872E4D"/>
    <w:rsid w:val="00915789"/>
    <w:rsid w:val="00966699"/>
    <w:rsid w:val="00A10940"/>
    <w:rsid w:val="00AB2DBC"/>
    <w:rsid w:val="00AD411A"/>
    <w:rsid w:val="00B23DBC"/>
    <w:rsid w:val="00B63337"/>
    <w:rsid w:val="00BA3109"/>
    <w:rsid w:val="00C2063B"/>
    <w:rsid w:val="00C26C08"/>
    <w:rsid w:val="00C44850"/>
    <w:rsid w:val="00CA539B"/>
    <w:rsid w:val="00CE2CED"/>
    <w:rsid w:val="00D75D3E"/>
    <w:rsid w:val="00D957EB"/>
    <w:rsid w:val="00D96CB3"/>
    <w:rsid w:val="00E120AA"/>
    <w:rsid w:val="00E25DD6"/>
    <w:rsid w:val="00E33E6D"/>
    <w:rsid w:val="00E352AE"/>
    <w:rsid w:val="00E93A54"/>
    <w:rsid w:val="00EB505C"/>
    <w:rsid w:val="00EF7383"/>
    <w:rsid w:val="00F21715"/>
    <w:rsid w:val="00F22258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7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2428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84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1234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mateo cruz</cp:lastModifiedBy>
  <cp:revision>4</cp:revision>
  <dcterms:created xsi:type="dcterms:W3CDTF">2025-12-05T15:36:00Z</dcterms:created>
  <dcterms:modified xsi:type="dcterms:W3CDTF">2025-12-30T13:55:00Z</dcterms:modified>
</cp:coreProperties>
</file>